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6F69C019"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Start w:id="4" w:name="Number"/>
      <w:r w:rsidR="005F009C" w:rsidRPr="00DF2302">
        <w:rPr>
          <w:rStyle w:val="Strong"/>
          <w:b/>
          <w:bCs w:val="0"/>
          <w:sz w:val="24"/>
          <w:szCs w:val="24"/>
        </w:rPr>
        <w:t>RF</w:t>
      </w:r>
      <w:r w:rsidR="00B00778" w:rsidRPr="00DF2302">
        <w:rPr>
          <w:rStyle w:val="Strong"/>
          <w:b/>
          <w:bCs w:val="0"/>
          <w:sz w:val="24"/>
          <w:szCs w:val="24"/>
        </w:rPr>
        <w:t>Q</w:t>
      </w:r>
      <w:bookmarkEnd w:id="1"/>
      <w:bookmarkEnd w:id="2"/>
      <w:bookmarkEnd w:id="3"/>
      <w:bookmarkEnd w:id="4"/>
      <w:r w:rsidR="007638DD">
        <w:rPr>
          <w:rStyle w:val="Strong"/>
          <w:b/>
          <w:bCs w:val="0"/>
          <w:sz w:val="24"/>
          <w:szCs w:val="24"/>
        </w:rPr>
        <w:t>-27-G011-21</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5"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5"/>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6"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7" w:name="_Hlk11241264"/>
      <w:r w:rsidRPr="00DF2302">
        <w:rPr>
          <w:rFonts w:ascii="Calibri" w:hAnsi="Calibri" w:cs="Calibri"/>
          <w:lang w:val="en-GB"/>
        </w:rPr>
        <w:t>Evaluation</w:t>
      </w:r>
      <w:bookmarkEnd w:id="7"/>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8" w:name="Technical"/>
      <w:r w:rsidR="001C491C" w:rsidRPr="00DF2302">
        <w:rPr>
          <w:rFonts w:ascii="Calibri" w:hAnsi="Calibri" w:cs="Calibri"/>
          <w:lang w:val="en-GB"/>
        </w:rPr>
        <w:t>70</w:t>
      </w:r>
      <w:r w:rsidRPr="00DF2302">
        <w:rPr>
          <w:rFonts w:ascii="Calibri" w:hAnsi="Calibri" w:cs="Calibri"/>
          <w:lang w:val="en-GB"/>
        </w:rPr>
        <w:t xml:space="preserve"> %</w:t>
      </w:r>
      <w:bookmarkEnd w:id="8"/>
      <w:r w:rsidRPr="00DF2302">
        <w:rPr>
          <w:rFonts w:ascii="Calibri" w:hAnsi="Calibri" w:cs="Calibri"/>
          <w:lang w:val="en-GB"/>
        </w:rPr>
        <w:t xml:space="preserve"> of the score received in the technical evaluation will be added to the obtained financial score, which is maximum </w:t>
      </w:r>
      <w:bookmarkStart w:id="9" w:name="Financial"/>
      <w:r w:rsidR="001C491C" w:rsidRPr="00DF2302">
        <w:rPr>
          <w:rFonts w:ascii="Calibri" w:hAnsi="Calibri" w:cs="Calibri"/>
          <w:lang w:val="en-GB"/>
        </w:rPr>
        <w:t>30</w:t>
      </w:r>
      <w:r w:rsidRPr="00DF2302">
        <w:rPr>
          <w:rFonts w:ascii="Calibri" w:hAnsi="Calibri" w:cs="Calibri"/>
          <w:lang w:val="en-GB"/>
        </w:rPr>
        <w:t xml:space="preserve"> points</w:t>
      </w:r>
      <w:bookmarkEnd w:id="9"/>
      <w:r w:rsidRPr="00DF2302">
        <w:rPr>
          <w:rFonts w:ascii="Calibri" w:hAnsi="Calibri" w:cs="Calibri"/>
          <w:lang w:val="en-GB"/>
        </w:rPr>
        <w:t>, and calculated as described below.</w:t>
      </w:r>
    </w:p>
    <w:p w14:paraId="71143A99" w14:textId="5783E0B1" w:rsidR="00E15F4B" w:rsidRPr="00DF2302" w:rsidRDefault="00E15F4B" w:rsidP="00B52A14">
      <w:pPr>
        <w:spacing w:before="120"/>
        <w:jc w:val="both"/>
        <w:rPr>
          <w:b/>
          <w:i/>
          <w:color w:val="FF0000"/>
          <w:lang w:val="en-GB"/>
        </w:rPr>
      </w:pPr>
      <w:r w:rsidRPr="00DF2302">
        <w:rPr>
          <w:b/>
          <w:i/>
          <w:color w:val="FF0000"/>
          <w:lang w:val="en-GB"/>
        </w:rPr>
        <w:t xml:space="preserve">Please, note that we do not recommend this maximum amount as a ‘target’ for your </w:t>
      </w:r>
      <w:r w:rsidR="0098045C" w:rsidRPr="00DF2302">
        <w:rPr>
          <w:b/>
          <w:i/>
          <w:color w:val="FF0000"/>
          <w:lang w:val="en-GB"/>
        </w:rPr>
        <w:t>Tender</w:t>
      </w:r>
      <w:r w:rsidRPr="00DF2302">
        <w:rPr>
          <w:b/>
          <w:i/>
          <w:color w:val="FF0000"/>
          <w:lang w:val="en-GB"/>
        </w:rPr>
        <w:t xml:space="preserve">. The evaluation is a result of a combination of technical soundness and cost effectiveness of the </w:t>
      </w:r>
      <w:r w:rsidR="0098045C" w:rsidRPr="00DF2302">
        <w:rPr>
          <w:b/>
          <w:i/>
          <w:color w:val="FF0000"/>
          <w:lang w:val="en-GB"/>
        </w:rPr>
        <w:t>Tender</w:t>
      </w:r>
      <w:r w:rsidRPr="00DF2302">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6"/>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10"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10"/>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367"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6E17EC">
        <w:trPr>
          <w:cantSplit/>
          <w:tblHeader/>
        </w:trPr>
        <w:tc>
          <w:tcPr>
            <w:tcW w:w="2430" w:type="dxa"/>
            <w:shd w:val="clear" w:color="auto" w:fill="auto"/>
            <w:vAlign w:val="center"/>
          </w:tcPr>
          <w:p w14:paraId="5B4EEC3C" w14:textId="461BD486" w:rsidR="006E17EC" w:rsidRPr="00721742" w:rsidRDefault="00DE3F38" w:rsidP="006E17EC">
            <w:pPr>
              <w:pStyle w:val="TableContents"/>
              <w:rPr>
                <w:rFonts w:asciiTheme="minorHAnsi" w:hAnsiTheme="minorHAnsi"/>
                <w:sz w:val="22"/>
                <w:szCs w:val="22"/>
                <w:lang w:eastAsia="en-US"/>
              </w:rPr>
            </w:pPr>
            <w:r w:rsidRPr="00721742">
              <w:rPr>
                <w:rFonts w:asciiTheme="minorHAnsi" w:hAnsiTheme="minorHAnsi"/>
                <w:sz w:val="22"/>
                <w:szCs w:val="22"/>
                <w:lang w:eastAsia="en-US"/>
              </w:rPr>
              <w:t xml:space="preserve">Firm/consortium’s experience and reputation </w:t>
            </w:r>
            <w:r w:rsidR="00B52A14" w:rsidRPr="00721742">
              <w:rPr>
                <w:rFonts w:asciiTheme="minorHAnsi" w:hAnsiTheme="minorHAnsi"/>
                <w:sz w:val="22"/>
                <w:szCs w:val="22"/>
                <w:lang w:eastAsia="en-US"/>
              </w:rPr>
              <w:t>with</w:t>
            </w:r>
            <w:r w:rsidRPr="00721742">
              <w:rPr>
                <w:rFonts w:asciiTheme="minorHAnsi" w:hAnsiTheme="minorHAnsi"/>
                <w:sz w:val="22"/>
                <w:szCs w:val="22"/>
                <w:lang w:eastAsia="en-US"/>
              </w:rPr>
              <w:t xml:space="preserve"> similar </w:t>
            </w:r>
            <w:r w:rsidR="00AD3DBB" w:rsidRPr="00721742">
              <w:rPr>
                <w:rFonts w:asciiTheme="minorHAnsi" w:hAnsiTheme="minorHAnsi"/>
                <w:sz w:val="22"/>
                <w:szCs w:val="22"/>
                <w:lang w:eastAsia="en-US"/>
              </w:rPr>
              <w:t>supply of Goods</w:t>
            </w:r>
          </w:p>
        </w:tc>
        <w:tc>
          <w:tcPr>
            <w:tcW w:w="5367" w:type="dxa"/>
            <w:shd w:val="clear" w:color="auto" w:fill="auto"/>
          </w:tcPr>
          <w:p w14:paraId="6C2AB60E" w14:textId="77777777" w:rsidR="006E17EC" w:rsidRPr="00721742" w:rsidRDefault="00721742" w:rsidP="00721742">
            <w:pPr>
              <w:pStyle w:val="TableContents"/>
              <w:numPr>
                <w:ilvl w:val="0"/>
                <w:numId w:val="9"/>
              </w:numPr>
              <w:rPr>
                <w:rFonts w:asciiTheme="minorHAnsi" w:hAnsiTheme="minorHAnsi"/>
                <w:sz w:val="22"/>
                <w:szCs w:val="22"/>
              </w:rPr>
            </w:pPr>
            <w:r w:rsidRPr="00721742">
              <w:rPr>
                <w:rFonts w:asciiTheme="minorHAnsi" w:hAnsiTheme="minorHAnsi"/>
                <w:sz w:val="22"/>
                <w:szCs w:val="22"/>
              </w:rPr>
              <w:t xml:space="preserve">Business license </w:t>
            </w:r>
          </w:p>
          <w:p w14:paraId="43881D40" w14:textId="77777777" w:rsidR="007638DD" w:rsidRDefault="00721742" w:rsidP="007638DD">
            <w:pPr>
              <w:pStyle w:val="TableContents"/>
              <w:numPr>
                <w:ilvl w:val="0"/>
                <w:numId w:val="9"/>
              </w:numPr>
              <w:rPr>
                <w:rFonts w:asciiTheme="minorHAnsi" w:hAnsiTheme="minorHAnsi"/>
                <w:sz w:val="22"/>
                <w:szCs w:val="22"/>
              </w:rPr>
            </w:pPr>
            <w:r w:rsidRPr="00721742">
              <w:rPr>
                <w:rFonts w:asciiTheme="minorHAnsi" w:hAnsiTheme="minorHAnsi"/>
                <w:sz w:val="22"/>
                <w:szCs w:val="22"/>
              </w:rPr>
              <w:t>References</w:t>
            </w:r>
          </w:p>
          <w:p w14:paraId="3ADDF29E" w14:textId="5839FC12" w:rsidR="00721742" w:rsidRPr="007638DD" w:rsidRDefault="00721742" w:rsidP="007638DD">
            <w:pPr>
              <w:pStyle w:val="TableContents"/>
              <w:numPr>
                <w:ilvl w:val="0"/>
                <w:numId w:val="9"/>
              </w:numPr>
              <w:rPr>
                <w:rFonts w:asciiTheme="minorHAnsi" w:hAnsiTheme="minorHAnsi"/>
                <w:sz w:val="22"/>
                <w:szCs w:val="22"/>
              </w:rPr>
            </w:pPr>
            <w:r w:rsidRPr="007638DD">
              <w:rPr>
                <w:rFonts w:asciiTheme="minorHAnsi" w:hAnsiTheme="minorHAnsi"/>
                <w:sz w:val="22"/>
                <w:szCs w:val="22"/>
              </w:rPr>
              <w:t xml:space="preserve">Nature of business </w:t>
            </w:r>
          </w:p>
        </w:tc>
        <w:tc>
          <w:tcPr>
            <w:tcW w:w="1360" w:type="dxa"/>
            <w:shd w:val="clear" w:color="auto" w:fill="auto"/>
            <w:vAlign w:val="center"/>
          </w:tcPr>
          <w:p w14:paraId="6FB170A3" w14:textId="3BB9FBF0" w:rsidR="006E17EC" w:rsidRPr="00DF2302" w:rsidRDefault="00721742" w:rsidP="006E17EC">
            <w:pPr>
              <w:pStyle w:val="TableContents"/>
              <w:jc w:val="center"/>
              <w:rPr>
                <w:rFonts w:asciiTheme="minorHAnsi" w:hAnsiTheme="minorHAnsi"/>
                <w:sz w:val="22"/>
                <w:szCs w:val="22"/>
                <w:highlight w:val="yellow"/>
                <w:lang w:eastAsia="en-US"/>
              </w:rPr>
            </w:pPr>
            <w:r w:rsidRPr="00721742">
              <w:rPr>
                <w:rFonts w:asciiTheme="minorHAnsi" w:hAnsiTheme="minorHAnsi"/>
                <w:sz w:val="22"/>
                <w:szCs w:val="22"/>
                <w:lang w:eastAsia="en-US"/>
              </w:rPr>
              <w:t>30</w:t>
            </w:r>
          </w:p>
        </w:tc>
      </w:tr>
      <w:tr w:rsidR="006E17EC" w:rsidRPr="00DF2302" w14:paraId="613F68D6" w14:textId="77777777" w:rsidTr="006E17EC">
        <w:trPr>
          <w:cantSplit/>
          <w:tblHeader/>
        </w:trPr>
        <w:tc>
          <w:tcPr>
            <w:tcW w:w="2430" w:type="dxa"/>
            <w:shd w:val="clear" w:color="auto" w:fill="auto"/>
            <w:vAlign w:val="center"/>
          </w:tcPr>
          <w:p w14:paraId="44102FCB" w14:textId="2848659C" w:rsidR="006E17EC" w:rsidRPr="00DF2302" w:rsidRDefault="00721742" w:rsidP="006E17EC">
            <w:pPr>
              <w:pStyle w:val="TableContents"/>
              <w:rPr>
                <w:rFonts w:asciiTheme="minorHAnsi" w:hAnsiTheme="minorHAnsi"/>
                <w:sz w:val="22"/>
                <w:szCs w:val="22"/>
                <w:highlight w:val="yellow"/>
                <w:lang w:eastAsia="en-US"/>
              </w:rPr>
            </w:pPr>
            <w:r w:rsidRPr="00721742">
              <w:rPr>
                <w:rFonts w:asciiTheme="minorHAnsi" w:hAnsiTheme="minorHAnsi"/>
                <w:sz w:val="22"/>
                <w:szCs w:val="22"/>
                <w:lang w:eastAsia="en-US"/>
              </w:rPr>
              <w:t xml:space="preserve">Stock availability </w:t>
            </w:r>
          </w:p>
        </w:tc>
        <w:tc>
          <w:tcPr>
            <w:tcW w:w="5367" w:type="dxa"/>
            <w:shd w:val="clear" w:color="auto" w:fill="auto"/>
          </w:tcPr>
          <w:p w14:paraId="4BA71FA2" w14:textId="09B7A643" w:rsidR="006E17EC" w:rsidRPr="00721742" w:rsidRDefault="00721742" w:rsidP="007638DD">
            <w:pPr>
              <w:pStyle w:val="TableContents"/>
              <w:rPr>
                <w:rFonts w:asciiTheme="minorHAnsi" w:hAnsiTheme="minorHAnsi"/>
                <w:sz w:val="22"/>
                <w:szCs w:val="22"/>
              </w:rPr>
            </w:pPr>
            <w:r>
              <w:rPr>
                <w:rFonts w:asciiTheme="minorHAnsi" w:hAnsiTheme="minorHAnsi"/>
                <w:sz w:val="22"/>
                <w:szCs w:val="22"/>
              </w:rPr>
              <w:t xml:space="preserve">Letter supporting stock availably and right specification including photos </w:t>
            </w:r>
          </w:p>
        </w:tc>
        <w:tc>
          <w:tcPr>
            <w:tcW w:w="1360" w:type="dxa"/>
            <w:shd w:val="clear" w:color="auto" w:fill="auto"/>
            <w:vAlign w:val="center"/>
          </w:tcPr>
          <w:p w14:paraId="657554B4" w14:textId="30A9A52D" w:rsidR="006E17EC" w:rsidRPr="00DF2302" w:rsidRDefault="00721742" w:rsidP="006E17EC">
            <w:pPr>
              <w:pStyle w:val="TableContents"/>
              <w:jc w:val="center"/>
              <w:rPr>
                <w:rFonts w:asciiTheme="minorHAnsi" w:hAnsiTheme="minorHAnsi"/>
                <w:sz w:val="22"/>
                <w:szCs w:val="22"/>
                <w:highlight w:val="yellow"/>
                <w:lang w:eastAsia="en-US"/>
              </w:rPr>
            </w:pPr>
            <w:r w:rsidRPr="00721742">
              <w:rPr>
                <w:rFonts w:asciiTheme="minorHAnsi" w:hAnsiTheme="minorHAnsi"/>
                <w:sz w:val="22"/>
                <w:szCs w:val="22"/>
                <w:lang w:eastAsia="en-US"/>
              </w:rPr>
              <w:t>30</w:t>
            </w:r>
          </w:p>
        </w:tc>
      </w:tr>
      <w:tr w:rsidR="006E17EC" w:rsidRPr="00DF2302" w14:paraId="7395E14D" w14:textId="77777777" w:rsidTr="006E17EC">
        <w:trPr>
          <w:cantSplit/>
          <w:tblHeader/>
        </w:trPr>
        <w:tc>
          <w:tcPr>
            <w:tcW w:w="2430" w:type="dxa"/>
            <w:shd w:val="clear" w:color="auto" w:fill="auto"/>
            <w:vAlign w:val="center"/>
          </w:tcPr>
          <w:p w14:paraId="58A5C5B6" w14:textId="6D8728C7" w:rsidR="006E17EC" w:rsidRPr="00DF2302" w:rsidRDefault="00721742" w:rsidP="006E17EC">
            <w:pPr>
              <w:pStyle w:val="TableContents"/>
              <w:rPr>
                <w:rFonts w:asciiTheme="minorHAnsi" w:hAnsiTheme="minorHAnsi"/>
                <w:sz w:val="22"/>
                <w:szCs w:val="22"/>
                <w:highlight w:val="yellow"/>
                <w:lang w:eastAsia="en-US"/>
              </w:rPr>
            </w:pPr>
            <w:r w:rsidRPr="00721742">
              <w:rPr>
                <w:rFonts w:asciiTheme="minorHAnsi" w:hAnsiTheme="minorHAnsi"/>
                <w:sz w:val="22"/>
                <w:szCs w:val="22"/>
                <w:lang w:eastAsia="en-US"/>
              </w:rPr>
              <w:t xml:space="preserve">Delivery time </w:t>
            </w:r>
          </w:p>
        </w:tc>
        <w:tc>
          <w:tcPr>
            <w:tcW w:w="5367" w:type="dxa"/>
            <w:shd w:val="clear" w:color="auto" w:fill="auto"/>
          </w:tcPr>
          <w:p w14:paraId="23A8F695" w14:textId="431A4EC0" w:rsidR="006E17EC" w:rsidRPr="00DF2302" w:rsidRDefault="00721742" w:rsidP="007638DD">
            <w:pPr>
              <w:pStyle w:val="TableContents"/>
              <w:rPr>
                <w:rFonts w:asciiTheme="minorHAnsi" w:hAnsiTheme="minorHAnsi"/>
                <w:sz w:val="22"/>
                <w:szCs w:val="22"/>
                <w:highlight w:val="yellow"/>
              </w:rPr>
            </w:pPr>
            <w:r w:rsidRPr="00721742">
              <w:rPr>
                <w:rFonts w:asciiTheme="minorHAnsi" w:hAnsiTheme="minorHAnsi"/>
                <w:sz w:val="22"/>
                <w:szCs w:val="22"/>
              </w:rPr>
              <w:t xml:space="preserve">One week after the award, the earliest the better </w:t>
            </w:r>
          </w:p>
        </w:tc>
        <w:tc>
          <w:tcPr>
            <w:tcW w:w="1360" w:type="dxa"/>
            <w:shd w:val="clear" w:color="auto" w:fill="auto"/>
            <w:vAlign w:val="center"/>
          </w:tcPr>
          <w:p w14:paraId="240875A4" w14:textId="0B97E372" w:rsidR="006E17EC" w:rsidRPr="00DF2302" w:rsidRDefault="00721742" w:rsidP="006E17EC">
            <w:pPr>
              <w:pStyle w:val="TableContents"/>
              <w:jc w:val="center"/>
              <w:rPr>
                <w:rFonts w:asciiTheme="minorHAnsi" w:hAnsiTheme="minorHAnsi"/>
                <w:sz w:val="22"/>
                <w:szCs w:val="22"/>
                <w:highlight w:val="yellow"/>
                <w:lang w:eastAsia="en-US"/>
              </w:rPr>
            </w:pPr>
            <w:r w:rsidRPr="00721742">
              <w:rPr>
                <w:rFonts w:asciiTheme="minorHAnsi" w:hAnsiTheme="minorHAnsi"/>
                <w:sz w:val="22"/>
                <w:szCs w:val="22"/>
                <w:lang w:eastAsia="en-US"/>
              </w:rPr>
              <w:t xml:space="preserve">40 </w:t>
            </w:r>
          </w:p>
        </w:tc>
      </w:tr>
      <w:tr w:rsidR="006E17EC" w:rsidRPr="00DF2302" w14:paraId="59453870" w14:textId="77777777" w:rsidTr="006E17EC">
        <w:trPr>
          <w:cantSplit/>
          <w:tblHeader/>
        </w:trPr>
        <w:tc>
          <w:tcPr>
            <w:tcW w:w="2430" w:type="dxa"/>
            <w:shd w:val="clear" w:color="auto" w:fill="auto"/>
            <w:vAlign w:val="center"/>
          </w:tcPr>
          <w:p w14:paraId="57F1472D" w14:textId="4FB1086A" w:rsidR="006E17EC" w:rsidRPr="00DF2302" w:rsidRDefault="006E17EC" w:rsidP="006E17EC">
            <w:pPr>
              <w:pStyle w:val="TableContents"/>
              <w:jc w:val="both"/>
              <w:rPr>
                <w:rFonts w:asciiTheme="minorHAnsi" w:hAnsiTheme="minorHAnsi"/>
                <w:sz w:val="22"/>
                <w:szCs w:val="22"/>
                <w:highlight w:val="yellow"/>
                <w:lang w:eastAsia="en-US"/>
              </w:rPr>
            </w:pPr>
          </w:p>
        </w:tc>
        <w:tc>
          <w:tcPr>
            <w:tcW w:w="5367" w:type="dxa"/>
            <w:shd w:val="clear" w:color="auto" w:fill="auto"/>
          </w:tcPr>
          <w:p w14:paraId="375ED5B7" w14:textId="58E43A2F" w:rsidR="006E17EC" w:rsidRPr="00DF2302" w:rsidRDefault="006E17EC" w:rsidP="007638DD">
            <w:pPr>
              <w:adjustRightInd w:val="0"/>
              <w:rPr>
                <w:rFonts w:asciiTheme="minorHAnsi" w:eastAsiaTheme="minorEastAsia" w:hAnsiTheme="minorHAnsi"/>
                <w:color w:val="000000"/>
                <w:sz w:val="22"/>
                <w:highlight w:val="yellow"/>
                <w:lang w:val="en-GB"/>
              </w:rPr>
            </w:pPr>
          </w:p>
        </w:tc>
        <w:tc>
          <w:tcPr>
            <w:tcW w:w="1360" w:type="dxa"/>
            <w:shd w:val="clear" w:color="auto" w:fill="auto"/>
            <w:vAlign w:val="center"/>
          </w:tcPr>
          <w:p w14:paraId="4C399CE7" w14:textId="784CD93C" w:rsidR="006E17EC" w:rsidRPr="00DF2302" w:rsidRDefault="006E17EC" w:rsidP="006E17EC">
            <w:pPr>
              <w:pStyle w:val="TableContents"/>
              <w:jc w:val="center"/>
              <w:rPr>
                <w:rFonts w:asciiTheme="minorHAnsi" w:hAnsiTheme="minorHAnsi"/>
                <w:sz w:val="22"/>
                <w:szCs w:val="22"/>
                <w:highlight w:val="yellow"/>
                <w:lang w:eastAsia="en-US"/>
              </w:rPr>
            </w:pP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1"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721742">
        <w:rPr>
          <w:rFonts w:ascii="Calibri" w:hAnsi="Calibri" w:cs="Calibri"/>
          <w:lang w:val="en-GB" w:eastAsia="ko-KR"/>
        </w:rPr>
        <w:fldChar w:fldCharType="begin"/>
      </w:r>
      <w:r w:rsidR="001C491C" w:rsidRPr="00721742">
        <w:rPr>
          <w:rFonts w:ascii="Calibri" w:hAnsi="Calibri" w:cs="Calibri"/>
          <w:lang w:val="en-GB" w:eastAsia="ko-KR"/>
        </w:rPr>
        <w:instrText xml:space="preserve"> REF Technical \h  \* MERGEFORMAT </w:instrText>
      </w:r>
      <w:r w:rsidR="001C491C" w:rsidRPr="00721742">
        <w:rPr>
          <w:rFonts w:ascii="Calibri" w:hAnsi="Calibri" w:cs="Calibri"/>
          <w:lang w:val="en-GB" w:eastAsia="ko-KR"/>
        </w:rPr>
      </w:r>
      <w:r w:rsidR="001C491C" w:rsidRPr="00721742">
        <w:rPr>
          <w:rFonts w:ascii="Calibri" w:hAnsi="Calibri" w:cs="Calibri"/>
          <w:lang w:val="en-GB" w:eastAsia="ko-KR"/>
        </w:rPr>
        <w:fldChar w:fldCharType="separate"/>
      </w:r>
      <w:r w:rsidR="001C491C" w:rsidRPr="00721742">
        <w:rPr>
          <w:rFonts w:ascii="Calibri" w:hAnsi="Calibri" w:cs="Calibri"/>
          <w:lang w:val="en-GB"/>
        </w:rPr>
        <w:t>70 %</w:t>
      </w:r>
      <w:r w:rsidR="001C491C" w:rsidRPr="00721742">
        <w:rPr>
          <w:rFonts w:ascii="Calibri" w:hAnsi="Calibri" w:cs="Calibri"/>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2"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ts</w:t>
      </w:r>
      <w:proofErr w:type="spellEnd"/>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tw</w:t>
      </w:r>
      <w:proofErr w:type="spellEnd"/>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proofErr w:type="spellStart"/>
      <w:r w:rsidRPr="00DF2302">
        <w:rPr>
          <w:lang w:val="en-GB"/>
        </w:rPr>
        <w:t>ts</w:t>
      </w:r>
      <w:proofErr w:type="spellEnd"/>
      <w:r w:rsidRPr="00DF2302">
        <w:rPr>
          <w:lang w:val="en-GB"/>
        </w:rPr>
        <w:t xml:space="preserve"> = technical result (technical score)</w:t>
      </w:r>
    </w:p>
    <w:p w14:paraId="58A879C2" w14:textId="77777777" w:rsidR="00E1099C" w:rsidRPr="00DF2302" w:rsidRDefault="00E1099C" w:rsidP="00E1099C">
      <w:pPr>
        <w:pStyle w:val="ListParagraph"/>
        <w:ind w:leftChars="0" w:left="2160"/>
        <w:rPr>
          <w:lang w:val="en-GB"/>
        </w:rPr>
      </w:pPr>
      <w:proofErr w:type="spellStart"/>
      <w:r w:rsidRPr="00DF2302">
        <w:rPr>
          <w:lang w:val="en-GB"/>
        </w:rPr>
        <w:t>tw</w:t>
      </w:r>
      <w:proofErr w:type="spellEnd"/>
      <w:r w:rsidRPr="00DF2302">
        <w:rPr>
          <w:lang w:val="en-GB"/>
        </w:rPr>
        <w:t xml:space="preserve"> = technical weight in % (technical weight)</w:t>
      </w:r>
    </w:p>
    <w:bookmarkEnd w:id="12"/>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3" w:name="_Toc374271007"/>
      <w:r w:rsidRPr="00DF2302">
        <w:rPr>
          <w:lang w:val="en-GB"/>
        </w:rPr>
        <w:t>Evaluation of financial components</w:t>
      </w:r>
      <w:bookmarkEnd w:id="13"/>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721742">
        <w:rPr>
          <w:rFonts w:ascii="Calibri" w:hAnsi="Calibri"/>
          <w:lang w:val="en-GB"/>
        </w:rPr>
        <w:fldChar w:fldCharType="begin"/>
      </w:r>
      <w:r w:rsidR="001C491C" w:rsidRPr="00721742">
        <w:rPr>
          <w:rFonts w:ascii="Calibri" w:hAnsi="Calibri"/>
          <w:lang w:val="en-GB"/>
        </w:rPr>
        <w:instrText xml:space="preserve"> REF Financial \h  \* MERGEFORMAT </w:instrText>
      </w:r>
      <w:r w:rsidR="001C491C" w:rsidRPr="00721742">
        <w:rPr>
          <w:rFonts w:ascii="Calibri" w:hAnsi="Calibri"/>
          <w:lang w:val="en-GB"/>
        </w:rPr>
      </w:r>
      <w:r w:rsidR="001C491C" w:rsidRPr="00721742">
        <w:rPr>
          <w:rFonts w:ascii="Calibri" w:hAnsi="Calibri"/>
          <w:lang w:val="en-GB"/>
        </w:rPr>
        <w:fldChar w:fldCharType="separate"/>
      </w:r>
      <w:r w:rsidR="001C491C" w:rsidRPr="00721742">
        <w:rPr>
          <w:rFonts w:ascii="Calibri" w:hAnsi="Calibri" w:cs="Calibri"/>
          <w:lang w:val="en-GB"/>
        </w:rPr>
        <w:t>30 points</w:t>
      </w:r>
      <w:r w:rsidR="001C491C" w:rsidRPr="00721742">
        <w:rPr>
          <w:rFonts w:ascii="Calibri" w:hAnsi="Calibri"/>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4" w:name="_Toc374271008"/>
      <w:r w:rsidRPr="00DF2302">
        <w:rPr>
          <w:lang w:val="en-GB"/>
        </w:rPr>
        <w:t>Evaluation of technical and financial components for total scoring</w:t>
      </w:r>
      <w:bookmarkEnd w:id="14"/>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66A05E3F" w:rsidR="009D1D45" w:rsidRPr="00DF2302" w:rsidRDefault="009D1D45" w:rsidP="009D1D45">
      <w:pPr>
        <w:spacing w:before="120"/>
        <w:ind w:left="709"/>
        <w:rPr>
          <w:rFonts w:ascii="Calibri" w:hAnsi="Calibri"/>
          <w:b/>
          <w:lang w:val="en-GB"/>
        </w:rPr>
      </w:pPr>
      <w:bookmarkStart w:id="15" w:name="_Hlk26878494"/>
      <w:r w:rsidRPr="00DF2302">
        <w:rPr>
          <w:rFonts w:ascii="Calibri" w:hAnsi="Calibri"/>
          <w:b/>
          <w:lang w:val="en-GB"/>
        </w:rPr>
        <w:t>E = (</w:t>
      </w:r>
      <w:proofErr w:type="spellStart"/>
      <w:r w:rsidRPr="00DF2302">
        <w:rPr>
          <w:rFonts w:ascii="Calibri" w:hAnsi="Calibri"/>
          <w:b/>
          <w:lang w:val="en-GB"/>
        </w:rPr>
        <w:t>ts</w:t>
      </w:r>
      <w:proofErr w:type="spellEnd"/>
      <w:r w:rsidRPr="00DF2302">
        <w:rPr>
          <w:rFonts w:ascii="Calibri" w:hAnsi="Calibri"/>
          <w:b/>
          <w:lang w:val="en-GB"/>
        </w:rPr>
        <w:t xml:space="preserve"> * </w:t>
      </w:r>
      <w:proofErr w:type="spellStart"/>
      <w:r w:rsidRPr="00DF2302">
        <w:rPr>
          <w:rFonts w:ascii="Calibri" w:hAnsi="Calibri"/>
          <w:b/>
          <w:lang w:val="en-GB"/>
        </w:rPr>
        <w:t>tw</w:t>
      </w:r>
      <w:proofErr w:type="spellEnd"/>
      <w:r w:rsidRPr="00DF2302">
        <w:rPr>
          <w:rFonts w:ascii="Calibri" w:hAnsi="Calibri"/>
          <w:b/>
          <w:lang w:val="en-GB"/>
        </w:rPr>
        <w:t>) + (</w:t>
      </w:r>
      <w:proofErr w:type="spellStart"/>
      <w:r w:rsidRPr="00DF2302">
        <w:rPr>
          <w:rFonts w:ascii="Calibri" w:hAnsi="Calibri"/>
          <w:b/>
          <w:lang w:val="en-GB"/>
        </w:rPr>
        <w:t>tc</w:t>
      </w:r>
      <w:proofErr w:type="spellEnd"/>
      <w:r w:rsidRPr="00DF2302">
        <w:rPr>
          <w:rFonts w:ascii="Calibri" w:hAnsi="Calibri"/>
          <w:b/>
          <w:lang w:val="en-GB"/>
        </w:rPr>
        <w:t xml:space="preserve"> / lc)</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6" w:name="_Hlk26877853"/>
      <w:proofErr w:type="spellStart"/>
      <w:r w:rsidRPr="00DF2302">
        <w:rPr>
          <w:rFonts w:ascii="Calibri" w:hAnsi="Calibri"/>
          <w:sz w:val="20"/>
          <w:szCs w:val="20"/>
          <w:lang w:val="en-GB"/>
        </w:rPr>
        <w:t>t</w:t>
      </w:r>
      <w:r w:rsidR="009D1D45" w:rsidRPr="00DF2302">
        <w:rPr>
          <w:rFonts w:ascii="Calibri" w:hAnsi="Calibri"/>
          <w:sz w:val="20"/>
          <w:szCs w:val="20"/>
          <w:lang w:val="en-GB"/>
        </w:rPr>
        <w:t>s</w:t>
      </w:r>
      <w:proofErr w:type="spellEnd"/>
      <w:r w:rsidR="009D1D45" w:rsidRPr="00DF2302">
        <w:rPr>
          <w:rFonts w:ascii="Calibri" w:hAnsi="Calibri"/>
          <w:sz w:val="20"/>
          <w:szCs w:val="20"/>
          <w:lang w:val="en-GB"/>
        </w:rPr>
        <w:t xml:space="preserve">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tw</w:t>
      </w:r>
      <w:proofErr w:type="spellEnd"/>
      <w:r w:rsidRPr="00DF2302">
        <w:rPr>
          <w:rFonts w:ascii="Calibri" w:hAnsi="Calibri"/>
          <w:sz w:val="20"/>
          <w:szCs w:val="20"/>
          <w:lang w:val="en-GB"/>
        </w:rPr>
        <w:t xml:space="preserve"> = technical weight in % (technical weight)</w:t>
      </w:r>
    </w:p>
    <w:bookmarkEnd w:id="16"/>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34FD6C24"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lastRenderedPageBreak/>
        <w:t>tc</w:t>
      </w:r>
      <w:proofErr w:type="spellEnd"/>
      <w:r w:rsidRPr="00DF2302">
        <w:rPr>
          <w:rFonts w:ascii="Calibri" w:hAnsi="Calibri"/>
          <w:sz w:val="20"/>
          <w:szCs w:val="20"/>
          <w:lang w:val="en-GB"/>
        </w:rPr>
        <w:t xml:space="preserve"> = cost of the Tender being evaluated (tender cost)</w:t>
      </w:r>
      <w:bookmarkEnd w:id="11"/>
      <w:bookmarkEnd w:id="15"/>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AE088" w14:textId="77777777" w:rsidR="008F63E5" w:rsidRDefault="008F63E5">
      <w:r>
        <w:separator/>
      </w:r>
    </w:p>
  </w:endnote>
  <w:endnote w:type="continuationSeparator" w:id="0">
    <w:p w14:paraId="0F6E3015" w14:textId="77777777" w:rsidR="008F63E5" w:rsidRDefault="008F6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0559DF8E" w:rsidR="00D15CF2" w:rsidRDefault="004878F3" w:rsidP="004878F3">
    <w:pPr>
      <w:pStyle w:val="Footer"/>
    </w:pPr>
    <w:r>
      <w:fldChar w:fldCharType="begin"/>
    </w:r>
    <w:r>
      <w:instrText xml:space="preserve"> DATE \@ "yyyy-MM-dd" </w:instrText>
    </w:r>
    <w:r>
      <w:fldChar w:fldCharType="separate"/>
    </w:r>
    <w:r w:rsidR="007638DD">
      <w:rPr>
        <w:noProof/>
      </w:rPr>
      <w:t>2021-12-07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AF886" w14:textId="77777777" w:rsidR="008F63E5" w:rsidRDefault="008F63E5">
      <w:r>
        <w:separator/>
      </w:r>
    </w:p>
  </w:footnote>
  <w:footnote w:type="continuationSeparator" w:id="0">
    <w:p w14:paraId="09391A89" w14:textId="77777777" w:rsidR="008F63E5" w:rsidRDefault="008F63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766D6" w14:textId="680AF2B3"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021682"/>
    <w:multiLevelType w:val="hybridMultilevel"/>
    <w:tmpl w:val="711845FC"/>
    <w:lvl w:ilvl="0" w:tplc="E45401C6">
      <w:start w:val="4"/>
      <w:numFmt w:val="bullet"/>
      <w:lvlText w:val=""/>
      <w:lvlJc w:val="left"/>
      <w:pPr>
        <w:ind w:left="405" w:hanging="360"/>
      </w:pPr>
      <w:rPr>
        <w:rFonts w:ascii="Symbol" w:eastAsia="Malgun Gothic" w:hAnsi="Symbol" w:cs="Times New Roman" w:hint="default"/>
      </w:rPr>
    </w:lvl>
    <w:lvl w:ilvl="1" w:tplc="0C090003" w:tentative="1">
      <w:start w:val="1"/>
      <w:numFmt w:val="bullet"/>
      <w:lvlText w:val="o"/>
      <w:lvlJc w:val="left"/>
      <w:pPr>
        <w:ind w:left="1125" w:hanging="360"/>
      </w:pPr>
      <w:rPr>
        <w:rFonts w:ascii="Courier New" w:hAnsi="Courier New" w:cs="Courier New" w:hint="default"/>
      </w:rPr>
    </w:lvl>
    <w:lvl w:ilvl="2" w:tplc="0C090005" w:tentative="1">
      <w:start w:val="1"/>
      <w:numFmt w:val="bullet"/>
      <w:lvlText w:val=""/>
      <w:lvlJc w:val="left"/>
      <w:pPr>
        <w:ind w:left="1845" w:hanging="360"/>
      </w:pPr>
      <w:rPr>
        <w:rFonts w:ascii="Wingdings" w:hAnsi="Wingdings" w:hint="default"/>
      </w:rPr>
    </w:lvl>
    <w:lvl w:ilvl="3" w:tplc="0C090001" w:tentative="1">
      <w:start w:val="1"/>
      <w:numFmt w:val="bullet"/>
      <w:lvlText w:val=""/>
      <w:lvlJc w:val="left"/>
      <w:pPr>
        <w:ind w:left="2565" w:hanging="360"/>
      </w:pPr>
      <w:rPr>
        <w:rFonts w:ascii="Symbol" w:hAnsi="Symbol" w:hint="default"/>
      </w:rPr>
    </w:lvl>
    <w:lvl w:ilvl="4" w:tplc="0C090003" w:tentative="1">
      <w:start w:val="1"/>
      <w:numFmt w:val="bullet"/>
      <w:lvlText w:val="o"/>
      <w:lvlJc w:val="left"/>
      <w:pPr>
        <w:ind w:left="3285" w:hanging="360"/>
      </w:pPr>
      <w:rPr>
        <w:rFonts w:ascii="Courier New" w:hAnsi="Courier New" w:cs="Courier New" w:hint="default"/>
      </w:rPr>
    </w:lvl>
    <w:lvl w:ilvl="5" w:tplc="0C090005" w:tentative="1">
      <w:start w:val="1"/>
      <w:numFmt w:val="bullet"/>
      <w:lvlText w:val=""/>
      <w:lvlJc w:val="left"/>
      <w:pPr>
        <w:ind w:left="4005" w:hanging="360"/>
      </w:pPr>
      <w:rPr>
        <w:rFonts w:ascii="Wingdings" w:hAnsi="Wingdings" w:hint="default"/>
      </w:rPr>
    </w:lvl>
    <w:lvl w:ilvl="6" w:tplc="0C090001" w:tentative="1">
      <w:start w:val="1"/>
      <w:numFmt w:val="bullet"/>
      <w:lvlText w:val=""/>
      <w:lvlJc w:val="left"/>
      <w:pPr>
        <w:ind w:left="4725" w:hanging="360"/>
      </w:pPr>
      <w:rPr>
        <w:rFonts w:ascii="Symbol" w:hAnsi="Symbol" w:hint="default"/>
      </w:rPr>
    </w:lvl>
    <w:lvl w:ilvl="7" w:tplc="0C090003" w:tentative="1">
      <w:start w:val="1"/>
      <w:numFmt w:val="bullet"/>
      <w:lvlText w:val="o"/>
      <w:lvlJc w:val="left"/>
      <w:pPr>
        <w:ind w:left="5445" w:hanging="360"/>
      </w:pPr>
      <w:rPr>
        <w:rFonts w:ascii="Courier New" w:hAnsi="Courier New" w:cs="Courier New" w:hint="default"/>
      </w:rPr>
    </w:lvl>
    <w:lvl w:ilvl="8" w:tplc="0C090005" w:tentative="1">
      <w:start w:val="1"/>
      <w:numFmt w:val="bullet"/>
      <w:lvlText w:val=""/>
      <w:lvlJc w:val="left"/>
      <w:pPr>
        <w:ind w:left="6165" w:hanging="360"/>
      </w:pPr>
      <w:rPr>
        <w:rFonts w:ascii="Wingdings" w:hAnsi="Wingdings" w:hint="default"/>
      </w:rPr>
    </w:lvl>
  </w:abstractNum>
  <w:abstractNum w:abstractNumId="2"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4"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6B12C04"/>
    <w:multiLevelType w:val="hybridMultilevel"/>
    <w:tmpl w:val="C53AFE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3"/>
  </w:num>
  <w:num w:numId="2">
    <w:abstractNumId w:val="9"/>
  </w:num>
  <w:num w:numId="3">
    <w:abstractNumId w:val="8"/>
  </w:num>
  <w:num w:numId="4">
    <w:abstractNumId w:val="7"/>
  </w:num>
  <w:num w:numId="5">
    <w:abstractNumId w:val="0"/>
  </w:num>
  <w:num w:numId="6">
    <w:abstractNumId w:val="6"/>
  </w:num>
  <w:num w:numId="7">
    <w:abstractNumId w:val="2"/>
  </w:num>
  <w:num w:numId="8">
    <w:abstractNumId w:val="4"/>
  </w:num>
  <w:num w:numId="9">
    <w:abstractNumId w:val="1"/>
  </w:num>
  <w:num w:numId="1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0F6"/>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06BE"/>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1742"/>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38DD"/>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3E5"/>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87ED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3.xml><?xml version="1.0" encoding="utf-8"?>
<ds:datastoreItem xmlns:ds="http://schemas.openxmlformats.org/officeDocument/2006/customXml" ds:itemID="{30DE3108-9D14-432A-A3E4-E93C6328D0CC}">
  <ds:schemaRefs>
    <ds:schemaRef ds:uri="http://schemas.openxmlformats.org/officeDocument/2006/bibliography"/>
  </ds:schemaRefs>
</ds:datastoreItem>
</file>

<file path=customXml/itemProps4.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735</Words>
  <Characters>4196</Characters>
  <Application>Microsoft Office Word</Application>
  <DocSecurity>0</DocSecurity>
  <Lines>34</Lines>
  <Paragraphs>9</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4922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Ruteta Tetabo</cp:lastModifiedBy>
  <cp:revision>2</cp:revision>
  <cp:lastPrinted>2016-10-18T02:57:00Z</cp:lastPrinted>
  <dcterms:created xsi:type="dcterms:W3CDTF">2021-12-06T21:53:00Z</dcterms:created>
  <dcterms:modified xsi:type="dcterms:W3CDTF">2021-12-06T21:53:00Z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